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2012 36 vom 19. November 2012</w:t>
      </w:r>
    </w:p>
    <w:p>
      <w:r>
        <w:t>GR Gerichte, 2012-11-19, DE</w:t>
      </w:r>
    </w:p>
    <w:p>
      <w:r>
        <w:rPr>
          <w:b/>
        </w:rPr>
        <w:t xml:space="preserve">Quelle: </w:t>
      </w:r>
      <w:r>
        <w:t>https://mcp.opencaselaw.ch/entscheid/gr_gerichte_SK2 2012 36</w:t>
      </w:r>
    </w:p>
    <w:p>
      <w:r>
        <w:t>FR: GR_GERICHTE SK2 2012 36 du 19 novembre 2012</w:t>
      </w:r>
    </w:p>
    <w:p>
      <w:r>
        <w:t>IT: GR_GERICHTE SK2 2012 36 del 19 novembre 2012</w:t>
      </w:r>
    </w:p>
    <w:p>
      <w:pPr>
        <w:pStyle w:val="Heading2"/>
      </w:pPr>
      <w:r>
        <w:t>Regeste</w:t>
      </w:r>
    </w:p>
    <w:p>
      <w:r>
        <w:t>Expertenauftrag | Beschwerde gegen Regionalgericht (früher Bezirksgericht)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 sei die aufschiebende Wirkung zuzuerkennen. Der beauftragte Experte sei in diesem Sinne (insbesondere superproviso- risch) anzuweisen, seine Expertentätigkeit vorerst nicht aufzunehmen, bis über Ziff. 1 vorstehend entschieden worden ist.</w:t>
      </w:r>
    </w:p>
    <w:p>
      <w:r>
        <w:rPr>
          <w:b/>
        </w:rPr>
        <w:t>E. 3</w:t>
      </w:r>
    </w:p>
    <w:p>
      <w:r>
        <w:t>Bei diesem Ausgang des Verfahrens gehen die Kosten desselben zu Las- ten des Beschwerdeführers. Sie werden in Anwendung von Art. 8 der Verordnung über die Gerichtsgebühren in Strafverfahren (VGS; BR 350.210) auf CHF 2‘000.- festgesetzt.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